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A2" w:rsidRDefault="00C94DA2" w:rsidP="00C94DA2">
      <w:pPr>
        <w:pStyle w:val="Heading1"/>
      </w:pPr>
      <w:bookmarkStart w:id="0" w:name="_GoBack"/>
      <w:bookmarkEnd w:id="0"/>
      <w:r>
        <w:t>Summary of Morgan Day, November 5</w:t>
      </w:r>
      <w:r w:rsidRPr="00C94DA2">
        <w:rPr>
          <w:vertAlign w:val="superscript"/>
        </w:rPr>
        <w:t>th</w:t>
      </w:r>
      <w:r>
        <w:t>, 2011</w:t>
      </w:r>
    </w:p>
    <w:p w:rsidR="00C94DA2" w:rsidRDefault="00C94DA2"/>
    <w:p w:rsidR="00C94DA2" w:rsidRDefault="00C94DA2" w:rsidP="00C94DA2">
      <w:pPr>
        <w:pStyle w:val="Heading2"/>
      </w:pPr>
      <w:r>
        <w:t>Overview of Study</w:t>
      </w:r>
    </w:p>
    <w:p w:rsidR="00C94DA2" w:rsidRDefault="00C94DA2" w:rsidP="00C94DA2">
      <w:r>
        <w:t xml:space="preserve">On November 5, 2011, the Mystic Seaport and Museum conducted a special celebration of the </w:t>
      </w:r>
      <w:r w:rsidR="007F38C2">
        <w:t xml:space="preserve">Charles W. </w:t>
      </w:r>
      <w:r>
        <w:t xml:space="preserve">Morgan – in honor of  her </w:t>
      </w:r>
      <w:r w:rsidR="007F38C2">
        <w:t>70</w:t>
      </w:r>
      <w:r w:rsidR="007F38C2" w:rsidRPr="007F38C2">
        <w:rPr>
          <w:vertAlign w:val="superscript"/>
        </w:rPr>
        <w:t>th</w:t>
      </w:r>
      <w:r w:rsidR="007F38C2">
        <w:t xml:space="preserve"> Anniversary of arriving at Mystic Seaport.</w:t>
      </w:r>
      <w:r>
        <w:t xml:space="preserve"> The day’s events were advertised in multiple ways, and admission was free for all visitors. </w:t>
      </w:r>
    </w:p>
    <w:p w:rsidR="00C94DA2" w:rsidRDefault="00C94DA2" w:rsidP="00C94DA2"/>
    <w:p w:rsidR="00C94DA2" w:rsidRDefault="00C94DA2" w:rsidP="00C94DA2">
      <w:r>
        <w:t xml:space="preserve">We conducted an exit interview </w:t>
      </w:r>
      <w:r w:rsidR="007F38C2">
        <w:t xml:space="preserve">with 52 </w:t>
      </w:r>
      <w:r>
        <w:t>visitors to the day’s events, focusing on their pre</w:t>
      </w:r>
      <w:r w:rsidR="007F38C2">
        <w:t>-awareness of the Morgan</w:t>
      </w:r>
      <w:r>
        <w:t xml:space="preserve">, their awareness of the day’s activities, their reaction to the </w:t>
      </w:r>
      <w:r w:rsidR="007F38C2">
        <w:t xml:space="preserve">day’s </w:t>
      </w:r>
      <w:r>
        <w:t xml:space="preserve">events, their likelihood of visiting the Morgan again (either at MSM, or at an off-site port-of-call), and their opinions regarding proposed activities. </w:t>
      </w:r>
    </w:p>
    <w:p w:rsidR="00C94DA2" w:rsidRDefault="00C94DA2" w:rsidP="00C94DA2">
      <w:pPr>
        <w:pStyle w:val="Heading1"/>
      </w:pPr>
      <w:r>
        <w:t>Findings</w:t>
      </w:r>
    </w:p>
    <w:p w:rsidR="00C94DA2" w:rsidRDefault="00C94DA2" w:rsidP="00C94DA2">
      <w:pPr>
        <w:pStyle w:val="Heading2"/>
      </w:pPr>
      <w:r>
        <w:t xml:space="preserve">Who were the visitors? </w:t>
      </w:r>
    </w:p>
    <w:p w:rsidR="00C94DA2" w:rsidRDefault="00C94DA2" w:rsidP="00C94DA2"/>
    <w:p w:rsidR="00C94DA2" w:rsidRDefault="00C94DA2" w:rsidP="00C94DA2">
      <w:r>
        <w:t xml:space="preserve">Visitors were </w:t>
      </w:r>
      <w:r w:rsidRPr="007F38C2">
        <w:rPr>
          <w:b/>
        </w:rPr>
        <w:t>evenly split</w:t>
      </w:r>
      <w:r>
        <w:t xml:space="preserve"> between male (50%) and female (50%).  They tended to be </w:t>
      </w:r>
      <w:r w:rsidRPr="007F38C2">
        <w:rPr>
          <w:b/>
        </w:rPr>
        <w:t>older</w:t>
      </w:r>
      <w:r>
        <w:t xml:space="preserve"> than average – only 10% were under 34 years of age, while 54% were between 35 and 59, and fully 35% were over 60 years of age.  Around a third (29%) came with children, </w:t>
      </w:r>
      <w:r w:rsidR="007F38C2">
        <w:t xml:space="preserve">while </w:t>
      </w:r>
      <w:r w:rsidRPr="007F38C2">
        <w:rPr>
          <w:b/>
        </w:rPr>
        <w:t>the majority came with 1 to 4 other adults</w:t>
      </w:r>
      <w:r>
        <w:t xml:space="preserve">. </w:t>
      </w:r>
    </w:p>
    <w:p w:rsidR="00C94DA2" w:rsidRDefault="00C94DA2" w:rsidP="00C94DA2"/>
    <w:p w:rsidR="00C94DA2" w:rsidRDefault="00C94DA2" w:rsidP="00C94DA2">
      <w:pPr>
        <w:pStyle w:val="Heading2"/>
      </w:pPr>
      <w:r>
        <w:t>Awareness of the event</w:t>
      </w:r>
    </w:p>
    <w:p w:rsidR="00C94DA2" w:rsidRDefault="00FA68B0" w:rsidP="00C94DA2">
      <w:r>
        <w:t>Most visitors (88</w:t>
      </w:r>
      <w:r w:rsidRPr="007F38C2">
        <w:t xml:space="preserve">%) </w:t>
      </w:r>
      <w:r w:rsidRPr="007F38C2">
        <w:rPr>
          <w:b/>
        </w:rPr>
        <w:t>were aware</w:t>
      </w:r>
      <w:r>
        <w:t xml:space="preserve"> </w:t>
      </w:r>
      <w:r w:rsidRPr="007F38C2">
        <w:rPr>
          <w:b/>
        </w:rPr>
        <w:t>of the event before</w:t>
      </w:r>
      <w:r>
        <w:t xml:space="preserve"> they arrived at the Seaport.  The most common ways in which they learned of the event were from the MSM website (33%), and newspaper articles (31%); members newsletters (22%) and “word of mouth” (20%) were also common. </w:t>
      </w:r>
    </w:p>
    <w:p w:rsidR="00C94DA2" w:rsidRDefault="00C94DA2" w:rsidP="00C94DA2"/>
    <w:p w:rsidR="003F1FFC" w:rsidRDefault="00C94DA2" w:rsidP="00C94DA2">
      <w:pPr>
        <w:pStyle w:val="Heading2"/>
      </w:pPr>
      <w:r>
        <w:t>Awareness of the Morgan (pre- and post-event)</w:t>
      </w:r>
    </w:p>
    <w:p w:rsidR="00C94DA2" w:rsidRPr="003F1FFC" w:rsidRDefault="003F1FFC" w:rsidP="003F1FFC">
      <w:r>
        <w:t xml:space="preserve">The day’s events were </w:t>
      </w:r>
      <w:r w:rsidRPr="007F38C2">
        <w:rPr>
          <w:b/>
        </w:rPr>
        <w:t>educational</w:t>
      </w:r>
      <w:r>
        <w:t xml:space="preserve"> for both novices and the more well-informed</w:t>
      </w:r>
      <w:r w:rsidR="007F38C2">
        <w:t xml:space="preserve"> visitors</w:t>
      </w:r>
      <w:r>
        <w:t>; one-fifth of the vis</w:t>
      </w:r>
      <w:r w:rsidR="00236E6D">
        <w:t>itors claimed they knew “hardly</w:t>
      </w:r>
      <w:r>
        <w:t xml:space="preserve"> anything</w:t>
      </w:r>
      <w:r w:rsidR="00236E6D">
        <w:t>”</w:t>
      </w:r>
      <w:r>
        <w:t xml:space="preserve"> prior to visiting on November 5</w:t>
      </w:r>
      <w:r w:rsidRPr="003F1FFC">
        <w:rPr>
          <w:vertAlign w:val="superscript"/>
        </w:rPr>
        <w:t>th</w:t>
      </w:r>
      <w:r>
        <w:t>; no one claimed that afterwards!  And the more</w:t>
      </w:r>
      <w:r w:rsidR="00236E6D">
        <w:t>-</w:t>
      </w:r>
      <w:r>
        <w:t xml:space="preserve">aware visitors also increased </w:t>
      </w:r>
      <w:r w:rsidR="00236E6D">
        <w:t xml:space="preserve">their awareness – a third of the sample claimed they “knew a lot” before,  and 44% claimed that afterwards. </w:t>
      </w:r>
    </w:p>
    <w:p w:rsidR="00C94DA2" w:rsidRPr="00C94DA2" w:rsidRDefault="00C94DA2" w:rsidP="00C94DA2"/>
    <w:p w:rsidR="00C94DA2" w:rsidRDefault="00C94DA2" w:rsidP="00C94DA2">
      <w:pPr>
        <w:pStyle w:val="Heading2"/>
      </w:pPr>
      <w:r>
        <w:t>Reaction to November 5</w:t>
      </w:r>
      <w:r w:rsidRPr="00C94DA2">
        <w:rPr>
          <w:vertAlign w:val="superscript"/>
        </w:rPr>
        <w:t>th</w:t>
      </w:r>
      <w:r>
        <w:t xml:space="preserve"> events</w:t>
      </w:r>
    </w:p>
    <w:p w:rsidR="00C94DA2" w:rsidRPr="00C94DA2" w:rsidRDefault="00C94DA2" w:rsidP="00C94DA2">
      <w:r>
        <w:t xml:space="preserve">Around one half of the visitors “just saw whatever was there” at the Seaport, and </w:t>
      </w:r>
      <w:r w:rsidR="00FA68B0">
        <w:t xml:space="preserve">around </w:t>
      </w:r>
      <w:r>
        <w:t xml:space="preserve">one third </w:t>
      </w:r>
      <w:r w:rsidR="00FA68B0">
        <w:t xml:space="preserve">“concentrated on the Morgan”. </w:t>
      </w:r>
      <w:r w:rsidR="00236E6D">
        <w:t xml:space="preserve">  </w:t>
      </w:r>
      <w:r w:rsidR="002D2FF0">
        <w:t xml:space="preserve">Of the activities/events, visitor preferred </w:t>
      </w:r>
      <w:r w:rsidR="002D2FF0" w:rsidRPr="007F38C2">
        <w:rPr>
          <w:b/>
        </w:rPr>
        <w:t>tours of the Morgan and being able to see the restoration up close</w:t>
      </w:r>
      <w:r w:rsidR="002D2FF0">
        <w:t xml:space="preserve"> </w:t>
      </w:r>
      <w:r w:rsidR="002D2FF0">
        <w:lastRenderedPageBreak/>
        <w:t xml:space="preserve">(31%), followed closely by the </w:t>
      </w:r>
      <w:r w:rsidR="002D2FF0" w:rsidRPr="007F38C2">
        <w:rPr>
          <w:b/>
        </w:rPr>
        <w:t>ceremony and the various speakers</w:t>
      </w:r>
      <w:r w:rsidR="002D2FF0">
        <w:t xml:space="preserve"> (25%).  These findings are reinforced by visitors reports of what they actually did on November 5</w:t>
      </w:r>
      <w:r w:rsidR="002D2FF0" w:rsidRPr="002D2FF0">
        <w:rPr>
          <w:vertAlign w:val="superscript"/>
        </w:rPr>
        <w:t>th</w:t>
      </w:r>
      <w:r w:rsidR="002D2FF0">
        <w:t xml:space="preserve">.; the highest percentage of visitors (83%) attended the </w:t>
      </w:r>
      <w:r w:rsidR="002D2FF0" w:rsidRPr="007F38C2">
        <w:rPr>
          <w:b/>
        </w:rPr>
        <w:t>ceremony</w:t>
      </w:r>
      <w:r w:rsidR="002D2FF0">
        <w:t xml:space="preserve">; 81% </w:t>
      </w:r>
      <w:r w:rsidR="002D2FF0" w:rsidRPr="007F38C2">
        <w:rPr>
          <w:b/>
        </w:rPr>
        <w:t xml:space="preserve">climbed </w:t>
      </w:r>
      <w:r w:rsidR="007F38C2">
        <w:rPr>
          <w:b/>
        </w:rPr>
        <w:t>aboard</w:t>
      </w:r>
      <w:r w:rsidR="002D2FF0" w:rsidRPr="007F38C2">
        <w:rPr>
          <w:b/>
        </w:rPr>
        <w:t xml:space="preserve"> the Morgan</w:t>
      </w:r>
      <w:r w:rsidR="002D2FF0">
        <w:t xml:space="preserve">; 77% </w:t>
      </w:r>
      <w:r w:rsidR="002D2FF0" w:rsidRPr="007F38C2">
        <w:rPr>
          <w:b/>
        </w:rPr>
        <w:t>visited the exhibit</w:t>
      </w:r>
      <w:r w:rsidR="002D2FF0">
        <w:t xml:space="preserve"> about the Morgan’s restoration; and 73% </w:t>
      </w:r>
      <w:r w:rsidR="002D2FF0" w:rsidRPr="007F38C2">
        <w:rPr>
          <w:b/>
        </w:rPr>
        <w:t>listened to the live music</w:t>
      </w:r>
      <w:r w:rsidR="002D2FF0">
        <w:t xml:space="preserve">. </w:t>
      </w:r>
      <w:r w:rsidR="000F73E1">
        <w:t xml:space="preserve">The least frequented activities were the </w:t>
      </w:r>
      <w:r w:rsidR="002D2FF0">
        <w:t xml:space="preserve">Eyewitness Reunion </w:t>
      </w:r>
      <w:r w:rsidR="000F73E1">
        <w:t xml:space="preserve">(37%) and the </w:t>
      </w:r>
      <w:r w:rsidR="007F38C2">
        <w:t>whale talks (42%).</w:t>
      </w:r>
    </w:p>
    <w:p w:rsidR="00C94DA2" w:rsidRDefault="00C94DA2" w:rsidP="00C94DA2"/>
    <w:p w:rsidR="004957A1" w:rsidRDefault="00C94DA2" w:rsidP="00C94DA2">
      <w:pPr>
        <w:pStyle w:val="Heading2"/>
      </w:pPr>
      <w:r>
        <w:t xml:space="preserve">Reaction to proposed activities </w:t>
      </w:r>
    </w:p>
    <w:p w:rsidR="00C94DA2" w:rsidRPr="004957A1" w:rsidRDefault="004957A1" w:rsidP="004957A1">
      <w:r>
        <w:t xml:space="preserve">Visitors are </w:t>
      </w:r>
      <w:r w:rsidRPr="007F38C2">
        <w:rPr>
          <w:b/>
        </w:rPr>
        <w:t xml:space="preserve">highly skewed </w:t>
      </w:r>
      <w:r w:rsidR="007F38C2" w:rsidRPr="007F38C2">
        <w:rPr>
          <w:b/>
        </w:rPr>
        <w:t xml:space="preserve">regarding </w:t>
      </w:r>
      <w:r w:rsidRPr="007F38C2">
        <w:rPr>
          <w:b/>
        </w:rPr>
        <w:t>their intention to visit the Morgan</w:t>
      </w:r>
      <w:r>
        <w:t xml:space="preserve"> at another port-of-call; 27% are “not likely at all”, while 20% are “very likely”.    But in a wider analysis, only 30% are highly likely (8 to 10) compared to almost 50% who report being quite unlikely (1 to </w:t>
      </w:r>
      <w:r w:rsidR="007F38C2">
        <w:t>3) to visit the Morgan off-site</w:t>
      </w:r>
      <w:r>
        <w:t xml:space="preserve">.  Visitors reported </w:t>
      </w:r>
      <w:r w:rsidRPr="007F38C2">
        <w:rPr>
          <w:b/>
        </w:rPr>
        <w:t>more than average interest in all</w:t>
      </w:r>
      <w:r>
        <w:t xml:space="preserve"> the proposed new activities, but they are most interested in an </w:t>
      </w:r>
      <w:r w:rsidRPr="007F38C2">
        <w:rPr>
          <w:b/>
        </w:rPr>
        <w:t>interactive dockside exhibit</w:t>
      </w:r>
      <w:r>
        <w:t xml:space="preserve"> (7.91/10), followed by </w:t>
      </w:r>
      <w:r w:rsidRPr="007F38C2">
        <w:rPr>
          <w:b/>
        </w:rPr>
        <w:t>demonstrations on maritime trades</w:t>
      </w:r>
      <w:r>
        <w:t xml:space="preserve"> such as barrel making and blacksmithing (7.57/10) and following the </w:t>
      </w:r>
      <w:r w:rsidRPr="007F38C2">
        <w:rPr>
          <w:b/>
        </w:rPr>
        <w:t>voyage online</w:t>
      </w:r>
      <w:r>
        <w:t xml:space="preserve"> (7.56); they expressed the </w:t>
      </w:r>
      <w:r w:rsidRPr="007F38C2">
        <w:rPr>
          <w:b/>
        </w:rPr>
        <w:t>least amount of interest in a geocaching activity</w:t>
      </w:r>
      <w:r>
        <w:t xml:space="preserve"> (5.73/10). </w:t>
      </w:r>
    </w:p>
    <w:sectPr w:rsidR="00C94DA2" w:rsidRPr="004957A1" w:rsidSect="00C94DA2">
      <w:pgSz w:w="12240" w:h="15840"/>
      <w:pgMar w:top="1440" w:right="1800" w:bottom="1440" w:left="1800" w:header="864" w:footer="86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A2"/>
    <w:rsid w:val="000F73E1"/>
    <w:rsid w:val="00236E6D"/>
    <w:rsid w:val="002D2FF0"/>
    <w:rsid w:val="003A58E7"/>
    <w:rsid w:val="003F1FFC"/>
    <w:rsid w:val="004957A1"/>
    <w:rsid w:val="007F38C2"/>
    <w:rsid w:val="00C94DA2"/>
    <w:rsid w:val="00FA68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686"/>
  </w:style>
  <w:style w:type="paragraph" w:styleId="Heading1">
    <w:name w:val="heading 1"/>
    <w:basedOn w:val="Normal"/>
    <w:next w:val="Normal"/>
    <w:link w:val="Heading1Char"/>
    <w:uiPriority w:val="9"/>
    <w:qFormat/>
    <w:rsid w:val="00C94D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4D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DA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4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686"/>
  </w:style>
  <w:style w:type="paragraph" w:styleId="Heading1">
    <w:name w:val="heading 1"/>
    <w:basedOn w:val="Normal"/>
    <w:next w:val="Normal"/>
    <w:link w:val="Heading1Char"/>
    <w:uiPriority w:val="9"/>
    <w:qFormat/>
    <w:rsid w:val="00C94D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4D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DA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4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>JHU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cp:lastModifiedBy>Erin  Marchitto</cp:lastModifiedBy>
  <cp:revision>2</cp:revision>
  <dcterms:created xsi:type="dcterms:W3CDTF">2011-12-16T15:05:00Z</dcterms:created>
  <dcterms:modified xsi:type="dcterms:W3CDTF">2011-12-16T15:05:00Z</dcterms:modified>
</cp:coreProperties>
</file>